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4036060</wp:posOffset>
            </wp:positionH>
            <wp:positionV relativeFrom="paragraph">
              <wp:posOffset>-4445</wp:posOffset>
            </wp:positionV>
            <wp:extent cx="2837815" cy="1447800"/>
            <wp:effectExtent l="0" t="0" r="0" b="0"/>
            <wp:wrapNone/>
            <wp:docPr id="1" name="Billed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sz w:val="48"/>
          <w:szCs w:val="48"/>
        </w:rPr>
      </w:pPr>
      <w:r>
        <w:rPr>
          <w:sz w:val="48"/>
          <w:szCs w:val="48"/>
        </w:rPr>
        <w:t xml:space="preserve">TAKSTBLAD 2024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www.grund-vand.dk</w:t>
      </w:r>
    </w:p>
    <w:p>
      <w:pPr>
        <w:pStyle w:val="Normal"/>
        <w:spacing w:lineRule="auto" w:line="240" w:before="0" w:after="0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</w:r>
    </w:p>
    <w:p>
      <w:pPr>
        <w:pStyle w:val="Normal"/>
        <w:spacing w:lineRule="auto" w:line="240" w:before="0" w:after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spacing w:lineRule="auto" w:line="240" w:before="0" w:after="0"/>
        <w:rPr>
          <w:sz w:val="48"/>
          <w:szCs w:val="48"/>
        </w:rPr>
      </w:pPr>
      <w:r>
        <w:rPr>
          <w:sz w:val="48"/>
          <w:szCs w:val="4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54"/>
        <w:gridCol w:w="396"/>
        <w:gridCol w:w="962"/>
        <w:gridCol w:w="513"/>
        <w:gridCol w:w="1413"/>
      </w:tblGrid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Anlægsbidrag pr. boligenhed (se note)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Ekskl. Moms 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Inkl. moms 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Hovedanlæg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8038,25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10.047,81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Forsyningsledninger i naturligt forsyningsområde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8.793,27</w:t>
            </w:r>
          </w:p>
        </w:tc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10.991,58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Forsyningsledninger i Rønbækvej efter konkret projekt som forinden godkendes af Favrskov Kommune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Stikledningsbidrag pr stik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9.468,14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11.835,18 </w:t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color w:val="000000"/>
                <w:sz w:val="20"/>
                <w:szCs w:val="20"/>
                <w:lang w:eastAsia="da-DK"/>
              </w:rPr>
              <w:t>Note</w:t>
            </w:r>
            <w:r>
              <w:rPr>
                <w:rFonts w:eastAsia="Times New Roman" w:cs="Arial" w:ascii="Arial" w:hAnsi="Arial"/>
                <w:bCs/>
                <w:i/>
                <w:color w:val="000000"/>
                <w:sz w:val="20"/>
                <w:szCs w:val="20"/>
                <w:lang w:eastAsia="da-DK"/>
              </w:rPr>
              <w:t xml:space="preserve">: </w:t>
            </w: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eastAsia="da-DK"/>
              </w:rPr>
              <w:t>Ovenstående priser reguleres i henhold til indekstal fra FVD/DANVA. Hovedanlægsbidrag er beregnet ud fra værdiansættelse af anlægget - bidraget indeksreguleres ikke men genberegnes jf. anbefaling fra vandværksforeningerne.</w:t>
            </w:r>
          </w:p>
        </w:tc>
      </w:tr>
      <w:tr>
        <w:trPr>
          <w:trHeight w:val="318" w:hRule="exac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288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Driftsbidrag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Ekskl. moms  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Inkl. moms  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Fast årligt bidrag pr. måler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400,00 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500,00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Vandpris pr. 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2,75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3,44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Statsafgift af ledningsført vand pr. 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(Vandskat) 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6,37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7,96 </w:t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 xml:space="preserve">Note: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0"/>
                <w:lang w:eastAsia="da-DK"/>
              </w:rPr>
              <w:t>Bidraget til grundvandssamarbejdet i Favrskov Kommune opkræves ikke i 2024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Gebyrer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Ekskl. Moms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Inkl. Moms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Rykkegebyr ved manglende eller for sen betaling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 xml:space="preserve">100,00 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Lukke gebyr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500,00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Genåbningsgebyr tillige med faktiske omkostninger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2.000,00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Øvrige ydelser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da-DK"/>
              </w:rPr>
              <w:t>Ekskl. moms 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da-DK"/>
              </w:rPr>
              <w:t>Inkl. Moms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Afprøvning af vandmåler rekvireret af forbruger. Nedtagning, opsætning, fragt og administration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600,00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750,00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Udskiftning af frostsprængt eller beskadiget vandmåler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350,00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437,50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Ekskl. Måler som faktureres til dagspris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Målertilsyn rekvireret af forbruger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280,00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350,00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Plombering af måler efter brud på eksisterende plombe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120,00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150,00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Ejerskifteaflæsning og -opgørelse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125,00</w:t>
            </w:r>
          </w:p>
        </w:tc>
      </w:tr>
      <w:tr>
        <w:trPr>
          <w:trHeight w:val="318" w:hRule="exac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Sletning af stikledning/ stophane betales af forbrugeren efter faktiske omkostninger i henhold til §6 i vedtægterne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Kontakt vandværket ved vandspild fra skjult ledning, hvor det eventuelt vil være muligt at få refusion af afgift for ledningsført vand (statsafgift, vandskat) og vandafgift til vandværket jfr. gældende lovgivning.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color w:val="BFBFBF" w:themeColor="background1" w:themeShade="bf"/>
          <w:sz w:val="20"/>
          <w:szCs w:val="20"/>
        </w:rPr>
      </w:pPr>
      <w:r>
        <w:rPr>
          <w:rFonts w:cs="Arial" w:ascii="Arial" w:hAnsi="Arial"/>
          <w:i/>
          <w:iCs/>
          <w:color w:val="BFBFBF" w:themeColor="background1" w:themeShade="bf"/>
          <w:sz w:val="20"/>
          <w:szCs w:val="20"/>
        </w:rPr>
        <w:t>Godkendt af Favrskov Kommune d. DATO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9d2b26"/>
    <w:rPr>
      <w:rFonts w:ascii="Tahoma" w:hAnsi="Tahoma" w:cs="Tahoma"/>
      <w:sz w:val="16"/>
      <w:szCs w:val="16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7774a8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7774a8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9d2b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7774a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7774a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LibreOffice/7.0.2.2$Windows_X86_64 LibreOffice_project/8349ace3c3162073abd90d81fd06dcfb6b36b994</Application>
  <Pages>1</Pages>
  <Words>248</Words>
  <Characters>1600</Characters>
  <CharactersWithSpaces>1889</CharactersWithSpaces>
  <Paragraphs>81</Paragraphs>
  <Company>Danva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2023-12-08T11:04:00Z</dcterms:created>
  <dc:creator>Dorte Skræm</dc:creator>
  <dc:description/>
  <dc:language>da-DK</dc:language>
  <cp:lastModifiedBy/>
  <cp:lastPrinted>2021-12-02T16:30:00Z</cp:lastPrinted>
  <dcterms:modified xsi:type="dcterms:W3CDTF">2024-02-13T15:17:21Z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Danva</vt:lpwstr>
  </property>
  <property fmtid="{D5CDD505-2E9C-101B-9397-08002B2CF9AE}" pid="4" name="DocSecurity">
    <vt:i4>0</vt:i4>
  </property>
  <property fmtid="{D5CDD505-2E9C-101B-9397-08002B2CF9AE}" pid="5" name="Filnavn">
    <vt:lpwstr>2014.11.26__[Overskrift]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